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餐营业相关数据占比以及公式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公式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营业额：</w:t>
      </w:r>
      <w:r>
        <w:rPr>
          <w:rFonts w:hint="eastAsia"/>
          <w:sz w:val="24"/>
          <w:szCs w:val="24"/>
        </w:rPr>
        <w:t>即营业收入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成本：</w:t>
      </w:r>
      <w:r>
        <w:rPr>
          <w:sz w:val="24"/>
          <w:szCs w:val="24"/>
        </w:rPr>
        <w:t>餐饮业的成本可根据其业务阶段划分为生产、销售、服务三方面的成本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毛利：</w:t>
      </w:r>
      <w:r>
        <w:rPr>
          <w:sz w:val="24"/>
          <w:szCs w:val="24"/>
        </w:rPr>
        <w:t>企业商品销售收入减去商品原进价后的余额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三者之间的关系：</w:t>
      </w:r>
    </w:p>
    <w:p>
      <w:pPr>
        <w:jc w:val="left"/>
        <w:rPr>
          <w:rFonts w:hint="eastAsia"/>
          <w:b/>
          <w:color w:val="FF0000"/>
          <w:sz w:val="32"/>
          <w:szCs w:val="32"/>
        </w:rPr>
      </w:pPr>
      <w:r>
        <w:rPr>
          <w:rFonts w:hint="eastAsia"/>
          <w:sz w:val="24"/>
          <w:szCs w:val="24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color w:val="FF0000"/>
          <w:sz w:val="32"/>
          <w:szCs w:val="32"/>
        </w:rPr>
        <w:t>总营业额—总成本=毛利</w:t>
      </w:r>
    </w:p>
    <w:p>
      <w:pPr>
        <w:jc w:val="left"/>
        <w:rPr>
          <w:rFonts w:hint="eastAsia" w:ascii="微软雅黑" w:hAnsi="微软雅黑"/>
          <w:sz w:val="24"/>
          <w:szCs w:val="24"/>
          <w:shd w:val="clear" w:color="auto" w:fill="FFFFFF"/>
        </w:rPr>
      </w:pPr>
      <w:r>
        <w:rPr>
          <w:rFonts w:hint="eastAsia"/>
          <w:b/>
          <w:sz w:val="24"/>
          <w:szCs w:val="24"/>
        </w:rPr>
        <w:t>毛利率：</w:t>
      </w:r>
      <w:r>
        <w:rPr>
          <w:sz w:val="24"/>
          <w:szCs w:val="24"/>
        </w:rPr>
        <w:t xml:space="preserve"> </w:t>
      </w:r>
      <w:r>
        <w:fldChar w:fldCharType="begin"/>
      </w:r>
      <w:r>
        <w:instrText xml:space="preserve">HYPERLINK "http://www.haosou.com/s?q=%E6%AF%9B%E5%88%A9&amp;ie=utf-8&amp;src=wenda_link" \t "_blank" </w:instrText>
      </w:r>
      <w:r>
        <w:fldChar w:fldCharType="separate"/>
      </w:r>
      <w:r>
        <w:rPr>
          <w:rStyle w:val="3"/>
          <w:rFonts w:ascii="微软雅黑" w:hAnsi="微软雅黑"/>
          <w:color w:val="auto"/>
          <w:sz w:val="24"/>
          <w:szCs w:val="24"/>
          <w:u w:val="none"/>
          <w:shd w:val="clear" w:color="auto" w:fill="FFFFFF"/>
        </w:rPr>
        <w:t>毛利</w:t>
      </w:r>
      <w:r>
        <w:fldChar w:fldCharType="end"/>
      </w:r>
      <w:r>
        <w:rPr>
          <w:rFonts w:ascii="微软雅黑" w:hAnsi="微软雅黑"/>
          <w:sz w:val="24"/>
          <w:szCs w:val="24"/>
          <w:shd w:val="clear" w:color="auto" w:fill="FFFFFF"/>
        </w:rPr>
        <w:t>与</w:t>
      </w:r>
      <w:bookmarkStart w:id="0" w:name="_GoBack"/>
      <w:bookmarkEnd w:id="0"/>
      <w:r>
        <w:rPr>
          <w:rFonts w:ascii="微软雅黑" w:hAnsi="微软雅黑"/>
          <w:sz w:val="24"/>
          <w:szCs w:val="24"/>
          <w:shd w:val="clear" w:color="auto" w:fill="FFFFFF"/>
        </w:rPr>
        <w:t>销售收入（或</w:t>
      </w:r>
      <w:r>
        <w:fldChar w:fldCharType="begin"/>
      </w:r>
      <w:r>
        <w:instrText xml:space="preserve">HYPERLINK "http://www.haosou.com/s?q=%E8%90%A5%E4%B8%9A%E6%94%B6%E5%85%A5&amp;ie=utf-8&amp;src=wenda_link" \t "_blank" </w:instrText>
      </w:r>
      <w:r>
        <w:fldChar w:fldCharType="separate"/>
      </w:r>
      <w:r>
        <w:rPr>
          <w:rStyle w:val="3"/>
          <w:rFonts w:ascii="微软雅黑" w:hAnsi="微软雅黑"/>
          <w:color w:val="auto"/>
          <w:sz w:val="24"/>
          <w:szCs w:val="24"/>
          <w:u w:val="none"/>
          <w:shd w:val="clear" w:color="auto" w:fill="FFFFFF"/>
        </w:rPr>
        <w:t>营业收入</w:t>
      </w:r>
      <w:r>
        <w:fldChar w:fldCharType="end"/>
      </w:r>
      <w:r>
        <w:rPr>
          <w:rFonts w:ascii="微软雅黑" w:hAnsi="微软雅黑"/>
          <w:sz w:val="24"/>
          <w:szCs w:val="24"/>
          <w:shd w:val="clear" w:color="auto" w:fill="FFFFFF"/>
        </w:rPr>
        <w:t>）的百分比，其中毛利是收入和与收入相对应的营业成本之间的差额</w:t>
      </w:r>
    </w:p>
    <w:p>
      <w:pPr>
        <w:jc w:val="left"/>
        <w:rPr>
          <w:rFonts w:hint="eastAsia" w:ascii="微软雅黑" w:hAnsi="微软雅黑"/>
          <w:sz w:val="24"/>
          <w:szCs w:val="24"/>
          <w:shd w:val="clear" w:color="auto" w:fill="FFFFFF"/>
        </w:rPr>
      </w:pPr>
    </w:p>
    <w:p>
      <w:pPr>
        <w:jc w:val="center"/>
        <w:rPr>
          <w:rFonts w:hint="eastAsia" w:ascii="微软雅黑" w:hAnsi="微软雅黑"/>
          <w:b/>
          <w:color w:val="FF0000"/>
          <w:szCs w:val="21"/>
          <w:shd w:val="clear" w:color="auto" w:fill="FFFFFF"/>
        </w:rPr>
      </w:pPr>
      <w:r>
        <w:rPr>
          <w:rFonts w:ascii="微软雅黑" w:hAnsi="微软雅黑"/>
          <w:b/>
          <w:color w:val="FF0000"/>
          <w:szCs w:val="21"/>
          <w:shd w:val="clear" w:color="auto" w:fill="FFFFFF"/>
        </w:rPr>
        <w:t>毛利率＝毛利/营业收入×100%＝（营业收入－营业成本）/营业收入×100%</w:t>
      </w:r>
    </w:p>
    <w:p>
      <w:pPr>
        <w:jc w:val="center"/>
        <w:rPr>
          <w:rFonts w:hint="eastAsia" w:ascii="微软雅黑" w:hAnsi="微软雅黑"/>
          <w:b/>
          <w:color w:val="FF0000"/>
          <w:szCs w:val="21"/>
          <w:shd w:val="clear" w:color="auto" w:fill="FFFFFF"/>
        </w:rPr>
      </w:pPr>
      <w:r>
        <w:rPr>
          <w:rFonts w:hint="eastAsia" w:ascii="微软雅黑" w:hAnsi="微软雅黑"/>
          <w:b/>
          <w:color w:val="FF0000"/>
          <w:szCs w:val="21"/>
          <w:shd w:val="clear" w:color="auto" w:fill="FFFFFF"/>
        </w:rPr>
        <w:t>反映价格水平</w:t>
      </w:r>
    </w:p>
    <w:p>
      <w:pPr>
        <w:jc w:val="center"/>
        <w:rPr>
          <w:rFonts w:hint="eastAsia" w:ascii="微软雅黑" w:hAnsi="微软雅黑"/>
          <w:b/>
          <w:color w:val="FF0000"/>
          <w:szCs w:val="21"/>
          <w:shd w:val="clear" w:color="auto" w:fill="FFFFFF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成本：</w:t>
      </w:r>
      <w:r>
        <w:rPr>
          <w:rFonts w:hint="eastAsia"/>
          <w:sz w:val="24"/>
          <w:szCs w:val="24"/>
        </w:rPr>
        <w:t>广义的成本包括原材料、工资费用、其他费用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>包括水、电、煤气，购买餐具、厨具费用，餐具破损费用，清洁、洗涤费用，办公用品费，银行利息，租入财产租金，电话费，差旅费等</w:t>
      </w:r>
      <w:r>
        <w:rPr>
          <w:sz w:val="24"/>
          <w:szCs w:val="24"/>
        </w:rPr>
        <w:t>)</w:t>
      </w:r>
    </w:p>
    <w:p>
      <w:pPr>
        <w:jc w:val="left"/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成本</w:t>
      </w:r>
      <w:r>
        <w:rPr>
          <w:b/>
          <w:color w:val="FF0000"/>
          <w:sz w:val="24"/>
          <w:szCs w:val="24"/>
        </w:rPr>
        <w:t>=</w:t>
      </w:r>
      <w:r>
        <w:rPr>
          <w:rFonts w:hint="eastAsia"/>
          <w:b/>
          <w:color w:val="FF0000"/>
          <w:sz w:val="24"/>
          <w:szCs w:val="24"/>
        </w:rPr>
        <w:t>直接材料</w:t>
      </w:r>
      <w:r>
        <w:rPr>
          <w:b/>
          <w:color w:val="FF0000"/>
          <w:sz w:val="24"/>
          <w:szCs w:val="24"/>
        </w:rPr>
        <w:t>+</w:t>
      </w:r>
      <w:r>
        <w:rPr>
          <w:rFonts w:hint="eastAsia"/>
          <w:b/>
          <w:color w:val="FF0000"/>
          <w:sz w:val="24"/>
          <w:szCs w:val="24"/>
        </w:rPr>
        <w:t>直接人工</w:t>
      </w:r>
      <w:r>
        <w:rPr>
          <w:b/>
          <w:color w:val="FF0000"/>
          <w:sz w:val="24"/>
          <w:szCs w:val="24"/>
        </w:rPr>
        <w:t>+</w:t>
      </w:r>
      <w:r>
        <w:rPr>
          <w:rFonts w:hint="eastAsia"/>
          <w:b/>
          <w:color w:val="FF0000"/>
          <w:sz w:val="24"/>
          <w:szCs w:val="24"/>
        </w:rPr>
        <w:t>其他费用</w:t>
      </w:r>
    </w:p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狭义的成本仅指酒店各营业部门为正常营业所需而购进的各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种原材料费用。通常酒店的成本核算仅指狭义的成本核算</w:t>
      </w:r>
    </w:p>
    <w:p>
      <w:pPr>
        <w:jc w:val="center"/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餐饮成本率=原材料成本额/营业收入</w:t>
      </w:r>
      <w:r>
        <w:rPr>
          <w:b/>
          <w:color w:val="FF0000"/>
          <w:sz w:val="28"/>
          <w:szCs w:val="28"/>
        </w:rPr>
        <w:t>×</w:t>
      </w:r>
      <w:r>
        <w:rPr>
          <w:rFonts w:hint="eastAsia"/>
          <w:b/>
          <w:color w:val="FF0000"/>
          <w:sz w:val="28"/>
          <w:szCs w:val="28"/>
        </w:rPr>
        <w:t>100%</w:t>
      </w:r>
    </w:p>
    <w:p>
      <w:pPr>
        <w:jc w:val="center"/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（反映餐饮成本水平）</w:t>
      </w:r>
    </w:p>
    <w:p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8"/>
          <w:szCs w:val="28"/>
        </w:rPr>
        <w:t>费用：</w:t>
      </w:r>
      <w:r>
        <w:rPr>
          <w:rFonts w:hint="eastAsia"/>
          <w:sz w:val="24"/>
          <w:szCs w:val="24"/>
        </w:rPr>
        <w:t>在餐饮经营中我们所需要支出的一切费用。</w:t>
      </w:r>
      <w:r>
        <w:fldChar w:fldCharType="begin"/>
      </w:r>
      <w:r>
        <w:instrText xml:space="preserve">HYPERLINK "http://www.haosou.com/s?q=%E8%90%A5%E4%B8%9A%E8%B4%B9%E7%94%A8&amp;ie=utf-8&amp;src=wenda_link" \t "_blank" </w:instrText>
      </w:r>
      <w:r>
        <w:fldChar w:fldCharType="separate"/>
      </w:r>
      <w:r>
        <w:rPr>
          <w:rStyle w:val="3"/>
          <w:rFonts w:ascii="微软雅黑" w:hAnsi="微软雅黑"/>
          <w:color w:val="auto"/>
          <w:sz w:val="24"/>
          <w:szCs w:val="24"/>
          <w:u w:val="none"/>
          <w:shd w:val="clear" w:color="auto" w:fill="FFFFFF"/>
        </w:rPr>
        <w:t>营业费用</w:t>
      </w:r>
      <w:r>
        <w:fldChar w:fldCharType="end"/>
      </w:r>
      <w:r>
        <w:rPr>
          <w:rFonts w:ascii="微软雅黑" w:hAnsi="微软雅黑"/>
          <w:sz w:val="24"/>
          <w:szCs w:val="24"/>
          <w:shd w:val="clear" w:color="auto" w:fill="FFFFFF"/>
        </w:rPr>
        <w:t>、管理费用、</w:t>
      </w:r>
      <w:r>
        <w:fldChar w:fldCharType="begin"/>
      </w:r>
      <w:r>
        <w:instrText xml:space="preserve">HYPERLINK "http://www.haosou.com/s?q=%E8%B4%A2%E5%8A%A1%E8%B4%B9%E7%94%A8&amp;ie=utf-8&amp;src=wenda_link" \t "_blank" </w:instrText>
      </w:r>
      <w:r>
        <w:fldChar w:fldCharType="separate"/>
      </w:r>
      <w:r>
        <w:rPr>
          <w:rStyle w:val="3"/>
          <w:rFonts w:ascii="微软雅黑" w:hAnsi="微软雅黑"/>
          <w:color w:val="auto"/>
          <w:sz w:val="24"/>
          <w:szCs w:val="24"/>
          <w:u w:val="none"/>
          <w:shd w:val="clear" w:color="auto" w:fill="FFFFFF"/>
        </w:rPr>
        <w:t>财务费用</w:t>
      </w:r>
      <w:r>
        <w:fldChar w:fldCharType="end"/>
      </w:r>
      <w:r>
        <w:rPr>
          <w:rFonts w:ascii="微软雅黑" w:hAnsi="微软雅黑"/>
          <w:sz w:val="24"/>
          <w:szCs w:val="24"/>
          <w:shd w:val="clear" w:color="auto" w:fill="FFFFFF"/>
        </w:rPr>
        <w:t>，其中营业费用和</w:t>
      </w:r>
      <w:r>
        <w:fldChar w:fldCharType="begin"/>
      </w:r>
      <w:r>
        <w:instrText xml:space="preserve">HYPERLINK "http://www.haosou.com/s?q=%E7%AE%A1%E7%90%86%E8%B4%B9%E7%94%A8&amp;ie=utf-8&amp;src=wenda_link" \t "_blank" </w:instrText>
      </w:r>
      <w:r>
        <w:fldChar w:fldCharType="separate"/>
      </w:r>
      <w:r>
        <w:rPr>
          <w:rStyle w:val="3"/>
          <w:rFonts w:ascii="微软雅黑" w:hAnsi="微软雅黑"/>
          <w:color w:val="auto"/>
          <w:sz w:val="24"/>
          <w:szCs w:val="24"/>
          <w:u w:val="none"/>
          <w:shd w:val="clear" w:color="auto" w:fill="FFFFFF"/>
        </w:rPr>
        <w:t>管理费用</w:t>
      </w:r>
      <w:r>
        <w:fldChar w:fldCharType="end"/>
      </w:r>
      <w:r>
        <w:rPr>
          <w:rFonts w:ascii="微软雅黑" w:hAnsi="微软雅黑"/>
          <w:sz w:val="24"/>
          <w:szCs w:val="24"/>
          <w:shd w:val="clear" w:color="auto" w:fill="FFFFFF"/>
        </w:rPr>
        <w:t>又包括工人工资、</w:t>
      </w:r>
      <w:r>
        <w:fldChar w:fldCharType="begin"/>
      </w:r>
      <w:r>
        <w:instrText xml:space="preserve">HYPERLINK "http://www.haosou.com/s?q=%E7%A6%8F%E5%88%A9%E8%B4%B9&amp;ie=utf-8&amp;src=wenda_link" \t "_blank" </w:instrText>
      </w:r>
      <w:r>
        <w:fldChar w:fldCharType="separate"/>
      </w:r>
      <w:r>
        <w:rPr>
          <w:rStyle w:val="3"/>
          <w:rFonts w:ascii="微软雅黑" w:hAnsi="微软雅黑"/>
          <w:color w:val="auto"/>
          <w:sz w:val="24"/>
          <w:szCs w:val="24"/>
          <w:u w:val="none"/>
          <w:shd w:val="clear" w:color="auto" w:fill="FFFFFF"/>
        </w:rPr>
        <w:t>福利费</w:t>
      </w:r>
      <w:r>
        <w:fldChar w:fldCharType="end"/>
      </w:r>
      <w:r>
        <w:rPr>
          <w:rFonts w:ascii="微软雅黑" w:hAnsi="微软雅黑"/>
          <w:sz w:val="24"/>
          <w:szCs w:val="24"/>
          <w:shd w:val="clear" w:color="auto" w:fill="FFFFFF"/>
        </w:rPr>
        <w:t>、电话费、办公费用、</w:t>
      </w:r>
      <w:r>
        <w:fldChar w:fldCharType="begin"/>
      </w:r>
      <w:r>
        <w:instrText xml:space="preserve">HYPERLINK "http://www.haosou.com/s?q=%E5%B7%AE%E6%97%85%E8%B4%B9&amp;ie=utf-8&amp;src=wenda_link" \t "_blank" </w:instrText>
      </w:r>
      <w:r>
        <w:fldChar w:fldCharType="separate"/>
      </w:r>
      <w:r>
        <w:rPr>
          <w:rStyle w:val="3"/>
          <w:rFonts w:ascii="微软雅黑" w:hAnsi="微软雅黑"/>
          <w:color w:val="auto"/>
          <w:sz w:val="24"/>
          <w:szCs w:val="24"/>
          <w:u w:val="none"/>
          <w:shd w:val="clear" w:color="auto" w:fill="FFFFFF"/>
        </w:rPr>
        <w:t>差旅费</w:t>
      </w:r>
      <w:r>
        <w:fldChar w:fldCharType="end"/>
      </w:r>
      <w:r>
        <w:rPr>
          <w:rFonts w:ascii="微软雅黑" w:hAnsi="微软雅黑"/>
          <w:sz w:val="24"/>
          <w:szCs w:val="24"/>
          <w:shd w:val="clear" w:color="auto" w:fill="FFFFFF"/>
        </w:rPr>
        <w:t>、</w:t>
      </w:r>
      <w:r>
        <w:fldChar w:fldCharType="begin"/>
      </w:r>
      <w:r>
        <w:instrText xml:space="preserve">HYPERLINK "http://www.haosou.com/s?q=%E6%B0%B4%E7%94%B5%E8%B4%B9&amp;ie=utf-8&amp;src=wenda_link" \t "_blank" </w:instrText>
      </w:r>
      <w:r>
        <w:fldChar w:fldCharType="separate"/>
      </w:r>
      <w:r>
        <w:rPr>
          <w:rStyle w:val="3"/>
          <w:rFonts w:ascii="微软雅黑" w:hAnsi="微软雅黑"/>
          <w:color w:val="auto"/>
          <w:sz w:val="24"/>
          <w:szCs w:val="24"/>
          <w:u w:val="none"/>
          <w:shd w:val="clear" w:color="auto" w:fill="FFFFFF"/>
        </w:rPr>
        <w:t>水电费</w:t>
      </w:r>
      <w:r>
        <w:fldChar w:fldCharType="end"/>
      </w:r>
      <w:r>
        <w:rPr>
          <w:rFonts w:ascii="微软雅黑" w:hAnsi="微软雅黑"/>
          <w:sz w:val="24"/>
          <w:szCs w:val="24"/>
          <w:shd w:val="clear" w:color="auto" w:fill="FFFFFF"/>
        </w:rPr>
        <w:t>、修理费、</w:t>
      </w:r>
      <w:r>
        <w:fldChar w:fldCharType="begin"/>
      </w:r>
      <w:r>
        <w:instrText xml:space="preserve">HYPERLINK "http://www.haosou.com/s?q=%E5%8D%B0%E8%8A%B1%E7%A8%8E&amp;ie=utf-8&amp;src=wenda_link" \t "_blank" </w:instrText>
      </w:r>
      <w:r>
        <w:fldChar w:fldCharType="separate"/>
      </w:r>
      <w:r>
        <w:rPr>
          <w:rStyle w:val="3"/>
          <w:rFonts w:ascii="微软雅黑" w:hAnsi="微软雅黑"/>
          <w:color w:val="auto"/>
          <w:sz w:val="24"/>
          <w:szCs w:val="24"/>
          <w:u w:val="none"/>
          <w:shd w:val="clear" w:color="auto" w:fill="FFFFFF"/>
        </w:rPr>
        <w:t>印花税</w:t>
      </w:r>
      <w:r>
        <w:fldChar w:fldCharType="end"/>
      </w:r>
      <w:r>
        <w:rPr>
          <w:rFonts w:ascii="微软雅黑" w:hAnsi="微软雅黑"/>
          <w:sz w:val="24"/>
          <w:szCs w:val="24"/>
          <w:shd w:val="clear" w:color="auto" w:fill="FFFFFF"/>
        </w:rPr>
        <w:t>等，还有本月应摊销的各种费用，如房租费、折旧费等。此外还有工商管理费、各种应交税金等。成本应该是酒类、各种饮料、菜、肉、</w:t>
      </w:r>
      <w:r>
        <w:fldChar w:fldCharType="begin"/>
      </w:r>
      <w:r>
        <w:instrText xml:space="preserve">HYPERLINK "http://www.haosou.com/s?q=%E9%9D%A2%E9%A3%9F&amp;ie=utf-8&amp;src=wenda_link" \t "_blank" </w:instrText>
      </w:r>
      <w:r>
        <w:fldChar w:fldCharType="separate"/>
      </w:r>
      <w:r>
        <w:rPr>
          <w:rStyle w:val="3"/>
          <w:rFonts w:ascii="微软雅黑" w:hAnsi="微软雅黑"/>
          <w:color w:val="auto"/>
          <w:sz w:val="24"/>
          <w:szCs w:val="24"/>
          <w:u w:val="none"/>
          <w:shd w:val="clear" w:color="auto" w:fill="FFFFFF"/>
        </w:rPr>
        <w:t>面食</w:t>
      </w:r>
      <w:r>
        <w:fldChar w:fldCharType="end"/>
      </w:r>
      <w:r>
        <w:rPr>
          <w:rFonts w:ascii="微软雅黑" w:hAnsi="微软雅黑"/>
          <w:sz w:val="24"/>
          <w:szCs w:val="24"/>
          <w:shd w:val="clear" w:color="auto" w:fill="FFFFFF"/>
        </w:rPr>
        <w:t>等。</w:t>
      </w:r>
    </w:p>
    <w:p>
      <w:pPr>
        <w:jc w:val="center"/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餐饮费用率=计划期流通费用额/营业收入×100% </w:t>
      </w:r>
    </w:p>
    <w:p>
      <w:pPr>
        <w:jc w:val="center"/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  含义：餐饮流通费用水平  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数据占比</w:t>
      </w:r>
    </w:p>
    <w:p>
      <w:pPr>
        <w:jc w:val="left"/>
        <w:rPr>
          <w:rFonts w:ascii="宋体" w:hAnsi="宋体" w:eastAsia="宋体" w:cs="Times New Roman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第一部分：综合费用分析</w:t>
      </w:r>
      <w:r>
        <w:rPr>
          <w:rFonts w:hint="eastAsia" w:ascii="宋体" w:hAnsi="宋体" w:eastAsia="宋体" w:cs="Times New Roman"/>
          <w:b/>
          <w:bCs/>
          <w:color w:val="FF0000"/>
          <w:sz w:val="28"/>
          <w:szCs w:val="28"/>
        </w:rPr>
        <w:t>（易耗、能耗、消耗）</w:t>
      </w:r>
    </w:p>
    <w:p>
      <w:pPr>
        <w:jc w:val="left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前厅费用占总营业额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11.2%%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，后厨费用占总营业额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13.8%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综合费用一般占企业营业额的</w:t>
      </w:r>
      <w:r>
        <w:rPr>
          <w:rFonts w:hint="eastAsia" w:ascii="Times New Roman" w:hAnsi="Times New Roman" w:eastAsia="宋体" w:cs="Times New Roman"/>
          <w:sz w:val="28"/>
          <w:szCs w:val="28"/>
        </w:rPr>
        <w:t>24-26%</w:t>
      </w:r>
      <w:r>
        <w:rPr>
          <w:rFonts w:hint="eastAsia" w:ascii="宋体" w:hAnsi="宋体" w:eastAsia="宋体" w:cs="Times New Roman"/>
          <w:sz w:val="28"/>
          <w:szCs w:val="28"/>
        </w:rPr>
        <w:t>，不包括房租折旧</w:t>
      </w:r>
      <w:r>
        <w:rPr>
          <w:rFonts w:hint="eastAsia" w:ascii="Times New Roman" w:hAnsi="Times New Roman" w:eastAsia="宋体" w:cs="Times New Roman"/>
          <w:sz w:val="28"/>
          <w:szCs w:val="28"/>
        </w:rPr>
        <w:t>10%</w:t>
      </w:r>
      <w:r>
        <w:rPr>
          <w:rFonts w:hint="eastAsia" w:ascii="宋体" w:hAnsi="宋体" w:eastAsia="宋体" w:cs="Times New Roman"/>
          <w:sz w:val="28"/>
          <w:szCs w:val="28"/>
        </w:rPr>
        <w:t>，（（水</w:t>
      </w:r>
      <w:r>
        <w:rPr>
          <w:rFonts w:hint="eastAsia" w:ascii="Times New Roman" w:hAnsi="Times New Roman" w:eastAsia="宋体" w:cs="Times New Roman"/>
          <w:sz w:val="28"/>
          <w:szCs w:val="28"/>
        </w:rPr>
        <w:t>0.5%</w:t>
      </w:r>
      <w:r>
        <w:rPr>
          <w:rFonts w:hint="eastAsia" w:ascii="宋体" w:hAnsi="宋体" w:eastAsia="宋体" w:cs="Times New Roman"/>
          <w:sz w:val="28"/>
          <w:szCs w:val="28"/>
        </w:rPr>
        <w:t>、电</w:t>
      </w:r>
      <w:r>
        <w:rPr>
          <w:rFonts w:hint="eastAsia" w:ascii="Times New Roman" w:hAnsi="Times New Roman" w:eastAsia="宋体" w:cs="Times New Roman"/>
          <w:sz w:val="28"/>
          <w:szCs w:val="28"/>
        </w:rPr>
        <w:t>2.5%</w:t>
      </w:r>
      <w:r>
        <w:rPr>
          <w:rFonts w:hint="eastAsia" w:ascii="宋体" w:hAnsi="宋体" w:eastAsia="宋体" w:cs="Times New Roman"/>
          <w:sz w:val="28"/>
          <w:szCs w:val="28"/>
        </w:rPr>
        <w:t>、人工</w:t>
      </w:r>
      <w:r>
        <w:rPr>
          <w:rFonts w:hint="eastAsia" w:ascii="Times New Roman" w:hAnsi="Times New Roman" w:eastAsia="宋体" w:cs="Times New Roman"/>
          <w:sz w:val="28"/>
          <w:szCs w:val="28"/>
        </w:rPr>
        <w:t>15-18%</w:t>
      </w:r>
      <w:r>
        <w:rPr>
          <w:rFonts w:hint="eastAsia" w:ascii="宋体" w:hAnsi="宋体" w:eastAsia="宋体" w:cs="Times New Roman"/>
          <w:sz w:val="28"/>
          <w:szCs w:val="28"/>
        </w:rPr>
        <w:t>、税收</w:t>
      </w:r>
      <w:r>
        <w:rPr>
          <w:rFonts w:hint="eastAsia" w:ascii="Times New Roman" w:hAnsi="Times New Roman" w:eastAsia="宋体" w:cs="Times New Roman"/>
          <w:sz w:val="28"/>
          <w:szCs w:val="28"/>
        </w:rPr>
        <w:t>5%</w:t>
      </w:r>
      <w:r>
        <w:rPr>
          <w:rFonts w:hint="eastAsia" w:ascii="宋体" w:hAnsi="宋体" w:eastAsia="宋体" w:cs="Times New Roman"/>
          <w:sz w:val="28"/>
          <w:szCs w:val="28"/>
        </w:rPr>
        <w:t>、福利</w:t>
      </w:r>
      <w:r>
        <w:rPr>
          <w:rFonts w:hint="eastAsia" w:ascii="Times New Roman" w:hAnsi="Times New Roman" w:eastAsia="宋体" w:cs="Times New Roman"/>
          <w:sz w:val="28"/>
          <w:szCs w:val="28"/>
        </w:rPr>
        <w:t>1%</w:t>
      </w:r>
      <w:r>
        <w:rPr>
          <w:rFonts w:hint="eastAsia" w:ascii="宋体" w:hAnsi="宋体" w:eastAsia="宋体" w:cs="Times New Roman"/>
          <w:sz w:val="28"/>
          <w:szCs w:val="28"/>
        </w:rPr>
        <w:t>、折扣</w:t>
      </w:r>
      <w:r>
        <w:rPr>
          <w:rFonts w:hint="eastAsia" w:ascii="Times New Roman" w:hAnsi="Times New Roman" w:eastAsia="宋体" w:cs="Times New Roman"/>
          <w:sz w:val="28"/>
          <w:szCs w:val="28"/>
        </w:rPr>
        <w:t>1%</w:t>
      </w:r>
      <w:r>
        <w:rPr>
          <w:rFonts w:hint="eastAsia" w:ascii="宋体" w:hAnsi="宋体" w:eastAsia="宋体" w:cs="Times New Roman"/>
          <w:sz w:val="28"/>
          <w:szCs w:val="28"/>
        </w:rPr>
        <w:t>、赠送等其他）</w:t>
      </w:r>
    </w:p>
    <w:p>
      <w:pPr>
        <w:jc w:val="left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Times New Roman"/>
          <w:b/>
          <w:bCs/>
          <w:color w:val="FF0000"/>
          <w:sz w:val="28"/>
          <w:szCs w:val="28"/>
        </w:rPr>
        <w:t>易耗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品：易耗品一般占企业营业额的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1.5%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。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易耗</w:t>
      </w:r>
      <w:r>
        <w:rPr>
          <w:rFonts w:hint="eastAsia" w:ascii="Times New Roman" w:hAnsi="Times New Roman" w:eastAsia="宋体" w:cs="Times New Roman"/>
          <w:sz w:val="28"/>
          <w:szCs w:val="28"/>
        </w:rPr>
        <w:t>1.5%</w:t>
      </w:r>
      <w:r>
        <w:rPr>
          <w:rFonts w:hint="eastAsia" w:ascii="宋体" w:hAnsi="宋体" w:eastAsia="宋体" w:cs="Times New Roman"/>
          <w:sz w:val="28"/>
          <w:szCs w:val="28"/>
        </w:rPr>
        <w:t>：一次性用品（口布、餐巾纸、洗刷，控制好</w:t>
      </w:r>
      <w:r>
        <w:rPr>
          <w:rFonts w:hint="eastAsia" w:ascii="Times New Roman" w:hAnsi="Times New Roman" w:eastAsia="宋体" w:cs="Times New Roman"/>
          <w:sz w:val="28"/>
          <w:szCs w:val="28"/>
        </w:rPr>
        <w:t>0.6-0.8%</w:t>
      </w:r>
      <w:r>
        <w:rPr>
          <w:rFonts w:hint="eastAsia" w:ascii="宋体" w:hAnsi="宋体" w:eastAsia="宋体" w:cs="Times New Roman"/>
          <w:sz w:val="28"/>
          <w:szCs w:val="28"/>
        </w:rPr>
        <w:t>）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二、</w:t>
      </w:r>
      <w:r>
        <w:rPr>
          <w:rFonts w:hint="eastAsia" w:ascii="宋体" w:hAnsi="宋体" w:eastAsia="宋体" w:cs="Times New Roman"/>
          <w:color w:val="FF0000"/>
          <w:sz w:val="28"/>
          <w:szCs w:val="28"/>
        </w:rPr>
        <w:t>能耗</w:t>
      </w:r>
      <w:r>
        <w:rPr>
          <w:rFonts w:hint="eastAsia" w:ascii="宋体" w:hAnsi="宋体" w:eastAsia="宋体" w:cs="Times New Roman"/>
          <w:sz w:val="28"/>
          <w:szCs w:val="28"/>
        </w:rPr>
        <w:t>：能耗</w:t>
      </w:r>
      <w:r>
        <w:rPr>
          <w:rFonts w:hint="eastAsia" w:ascii="Times New Roman" w:hAnsi="Times New Roman" w:eastAsia="宋体" w:cs="Times New Roman"/>
          <w:sz w:val="28"/>
          <w:szCs w:val="28"/>
        </w:rPr>
        <w:t>28%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1、水：水占总营业额的</w:t>
      </w:r>
      <w:r>
        <w:rPr>
          <w:rFonts w:hint="eastAsia" w:ascii="Times New Roman" w:hAnsi="Times New Roman" w:eastAsia="宋体" w:cs="Times New Roman"/>
          <w:sz w:val="28"/>
          <w:szCs w:val="28"/>
        </w:rPr>
        <w:t>0.5%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2、电：电占总营业额的</w:t>
      </w:r>
      <w:r>
        <w:rPr>
          <w:rFonts w:hint="eastAsia" w:ascii="Times New Roman" w:hAnsi="Times New Roman" w:eastAsia="宋体" w:cs="Times New Roman"/>
          <w:sz w:val="28"/>
          <w:szCs w:val="28"/>
        </w:rPr>
        <w:t>1.8-2.3%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3、人效：人效占总营业额的</w:t>
      </w:r>
      <w:r>
        <w:rPr>
          <w:rFonts w:hint="eastAsia" w:ascii="Times New Roman" w:hAnsi="Times New Roman" w:eastAsia="宋体" w:cs="Times New Roman"/>
          <w:sz w:val="28"/>
          <w:szCs w:val="28"/>
        </w:rPr>
        <w:t>15-18%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前厅工资占总营业额约</w:t>
      </w:r>
      <w:r>
        <w:rPr>
          <w:rFonts w:hint="eastAsia" w:ascii="Times New Roman" w:hAnsi="Times New Roman" w:eastAsia="宋体" w:cs="Times New Roman"/>
          <w:sz w:val="28"/>
          <w:szCs w:val="28"/>
        </w:rPr>
        <w:t>6%</w:t>
      </w:r>
      <w:r>
        <w:rPr>
          <w:rFonts w:hint="eastAsia" w:ascii="宋体" w:hAnsi="宋体" w:eastAsia="宋体" w:cs="Times New Roman"/>
          <w:sz w:val="28"/>
          <w:szCs w:val="28"/>
        </w:rPr>
        <w:t>，后厨工资占总营业额约</w:t>
      </w:r>
      <w:r>
        <w:rPr>
          <w:rFonts w:hint="eastAsia" w:ascii="Times New Roman" w:hAnsi="Times New Roman" w:eastAsia="宋体" w:cs="Times New Roman"/>
          <w:sz w:val="28"/>
          <w:szCs w:val="28"/>
        </w:rPr>
        <w:t>8%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三、</w:t>
      </w:r>
      <w:r>
        <w:rPr>
          <w:rFonts w:hint="eastAsia" w:ascii="宋体" w:hAnsi="宋体" w:eastAsia="宋体" w:cs="Times New Roman"/>
          <w:color w:val="FF0000"/>
          <w:sz w:val="28"/>
          <w:szCs w:val="28"/>
        </w:rPr>
        <w:t>消耗</w:t>
      </w:r>
      <w:r>
        <w:rPr>
          <w:rFonts w:hint="eastAsia" w:ascii="宋体" w:hAnsi="宋体" w:eastAsia="宋体" w:cs="Times New Roman"/>
          <w:sz w:val="28"/>
          <w:szCs w:val="28"/>
        </w:rPr>
        <w:t>：消耗</w:t>
      </w:r>
      <w:r>
        <w:rPr>
          <w:rFonts w:hint="eastAsia" w:ascii="Times New Roman" w:hAnsi="Times New Roman" w:eastAsia="宋体" w:cs="Times New Roman"/>
          <w:sz w:val="28"/>
          <w:szCs w:val="28"/>
        </w:rPr>
        <w:t>10%:</w:t>
      </w:r>
      <w:r>
        <w:rPr>
          <w:rFonts w:hint="eastAsia" w:ascii="宋体" w:hAnsi="宋体" w:eastAsia="宋体" w:cs="Times New Roman"/>
          <w:sz w:val="28"/>
          <w:szCs w:val="28"/>
        </w:rPr>
        <w:t>房租</w:t>
      </w:r>
      <w:r>
        <w:rPr>
          <w:rFonts w:hint="eastAsia" w:ascii="Times New Roman" w:hAnsi="Times New Roman" w:eastAsia="宋体" w:cs="Times New Roman"/>
          <w:sz w:val="28"/>
          <w:szCs w:val="28"/>
        </w:rPr>
        <w:t>6%+</w:t>
      </w:r>
      <w:r>
        <w:rPr>
          <w:rFonts w:hint="eastAsia" w:ascii="宋体" w:hAnsi="宋体" w:eastAsia="宋体" w:cs="Times New Roman"/>
          <w:sz w:val="28"/>
          <w:szCs w:val="28"/>
        </w:rPr>
        <w:t>折旧</w:t>
      </w:r>
      <w:r>
        <w:rPr>
          <w:rFonts w:hint="eastAsia" w:ascii="Times New Roman" w:hAnsi="Times New Roman" w:eastAsia="宋体" w:cs="Times New Roman"/>
          <w:sz w:val="28"/>
          <w:szCs w:val="28"/>
        </w:rPr>
        <w:t>4%</w:t>
      </w:r>
    </w:p>
    <w:p>
      <w:pPr>
        <w:jc w:val="left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第三部分：厨房经营分析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理念：前厅抓营业、后厨抓成本，两手抓费用，获得纯利润。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一</w:t>
      </w:r>
      <w:r>
        <w:rPr>
          <w:rFonts w:hint="eastAsia" w:ascii="宋体" w:hAnsi="宋体" w:eastAsia="宋体" w:cs="Times New Roman"/>
          <w:sz w:val="28"/>
          <w:szCs w:val="28"/>
        </w:rPr>
        <w:t>、厨房营业额分析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二、厨房成本分析（主料、调料、燃料）：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1、主料领用分析表</w:t>
      </w:r>
      <w:r>
        <w:rPr>
          <w:rFonts w:hint="eastAsia" w:ascii="Times New Roman" w:hAnsi="Times New Roman" w:eastAsia="宋体" w:cs="Times New Roman"/>
          <w:sz w:val="28"/>
          <w:szCs w:val="28"/>
        </w:rPr>
        <w:t>(</w:t>
      </w:r>
      <w:r>
        <w:rPr>
          <w:rFonts w:hint="eastAsia" w:ascii="宋体" w:hAnsi="宋体" w:eastAsia="宋体" w:cs="Times New Roman"/>
          <w:sz w:val="28"/>
          <w:szCs w:val="28"/>
        </w:rPr>
        <w:t>主料成本</w:t>
      </w:r>
      <w:r>
        <w:rPr>
          <w:rFonts w:hint="eastAsia" w:ascii="Times New Roman" w:hAnsi="Times New Roman" w:eastAsia="宋体" w:cs="Times New Roman"/>
          <w:sz w:val="28"/>
          <w:szCs w:val="28"/>
        </w:rPr>
        <w:t>36-38%</w:t>
      </w:r>
      <w:r>
        <w:rPr>
          <w:rFonts w:hint="eastAsia" w:ascii="宋体" w:hAnsi="宋体" w:eastAsia="宋体" w:cs="Times New Roman"/>
          <w:sz w:val="28"/>
          <w:szCs w:val="28"/>
        </w:rPr>
        <w:t>）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2、调料领用分析表（油的分析，含油占</w:t>
      </w:r>
      <w:r>
        <w:rPr>
          <w:rFonts w:hint="eastAsia" w:ascii="Times New Roman" w:hAnsi="Times New Roman" w:eastAsia="宋体" w:cs="Times New Roman"/>
          <w:sz w:val="28"/>
          <w:szCs w:val="28"/>
        </w:rPr>
        <w:t>4.5%</w:t>
      </w:r>
      <w:r>
        <w:rPr>
          <w:rFonts w:hint="eastAsia" w:ascii="宋体" w:hAnsi="宋体" w:eastAsia="宋体" w:cs="Times New Roman"/>
          <w:sz w:val="28"/>
          <w:szCs w:val="28"/>
        </w:rPr>
        <w:t>，油占厨房营业额的</w:t>
      </w:r>
      <w:r>
        <w:rPr>
          <w:rFonts w:hint="eastAsia" w:ascii="Times New Roman" w:hAnsi="Times New Roman" w:eastAsia="宋体" w:cs="Times New Roman"/>
          <w:sz w:val="28"/>
          <w:szCs w:val="28"/>
        </w:rPr>
        <w:t>1.8-2%</w:t>
      </w:r>
      <w:r>
        <w:rPr>
          <w:rFonts w:hint="eastAsia" w:ascii="宋体" w:hAnsi="宋体" w:eastAsia="宋体" w:cs="Times New Roman"/>
          <w:sz w:val="28"/>
          <w:szCs w:val="28"/>
        </w:rPr>
        <w:t>）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3.燃气分析（占</w:t>
      </w:r>
      <w:r>
        <w:rPr>
          <w:rFonts w:hint="eastAsia" w:ascii="Times New Roman" w:hAnsi="Times New Roman" w:eastAsia="宋体" w:cs="Times New Roman"/>
          <w:sz w:val="28"/>
          <w:szCs w:val="28"/>
        </w:rPr>
        <w:t>1.8-2.3%</w:t>
      </w:r>
      <w:r>
        <w:rPr>
          <w:rFonts w:hint="eastAsia" w:ascii="宋体" w:hAnsi="宋体" w:eastAsia="宋体" w:cs="Times New Roman"/>
          <w:sz w:val="28"/>
          <w:szCs w:val="28"/>
        </w:rPr>
        <w:t>，星级酒店达</w:t>
      </w:r>
      <w:r>
        <w:rPr>
          <w:rFonts w:hint="eastAsia" w:ascii="Times New Roman" w:hAnsi="Times New Roman" w:eastAsia="宋体" w:cs="Times New Roman"/>
          <w:sz w:val="28"/>
          <w:szCs w:val="28"/>
        </w:rPr>
        <w:t>2.5%</w:t>
      </w:r>
      <w:r>
        <w:rPr>
          <w:rFonts w:hint="eastAsia" w:ascii="宋体" w:hAnsi="宋体" w:eastAsia="宋体" w:cs="Times New Roman"/>
          <w:sz w:val="28"/>
          <w:szCs w:val="28"/>
        </w:rPr>
        <w:t>）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三、</w:t>
      </w:r>
      <w:r>
        <w:rPr>
          <w:rFonts w:hint="eastAsia" w:ascii="宋体" w:hAnsi="宋体" w:eastAsia="宋体" w:cs="Times New Roman"/>
          <w:sz w:val="28"/>
          <w:szCs w:val="28"/>
        </w:rPr>
        <w:t>厨房毛利率分析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单品菜品毛利率分析（提高毛利率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2%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，用算账法）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分出高、中、低毛利率（在菜单用红黄黑等颜色点标出）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案例：点菜中如何提高毛利率（</w:t>
      </w:r>
      <w:r>
        <w:rPr>
          <w:rFonts w:hint="eastAsia" w:ascii="Times New Roman" w:hAnsi="Times New Roman" w:eastAsia="宋体" w:cs="Times New Roman"/>
          <w:sz w:val="28"/>
          <w:szCs w:val="28"/>
        </w:rPr>
        <w:t>1</w:t>
      </w:r>
      <w:r>
        <w:rPr>
          <w:rFonts w:hint="eastAsia" w:ascii="宋体" w:hAnsi="宋体" w:eastAsia="宋体" w:cs="Times New Roman"/>
          <w:sz w:val="28"/>
          <w:szCs w:val="28"/>
        </w:rPr>
        <w:t>桌点</w:t>
      </w:r>
      <w:r>
        <w:rPr>
          <w:rFonts w:hint="eastAsia" w:ascii="Times New Roman" w:hAnsi="Times New Roman" w:eastAsia="宋体" w:cs="Times New Roman"/>
          <w:sz w:val="28"/>
          <w:szCs w:val="28"/>
        </w:rPr>
        <w:t>10</w:t>
      </w:r>
      <w:r>
        <w:rPr>
          <w:rFonts w:hint="eastAsia" w:ascii="宋体" w:hAnsi="宋体" w:eastAsia="宋体" w:cs="Times New Roman"/>
          <w:sz w:val="28"/>
          <w:szCs w:val="28"/>
        </w:rPr>
        <w:t>道菜）【高级职业点菜师】课程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5个低</w:t>
      </w:r>
      <w:r>
        <w:rPr>
          <w:rFonts w:hint="eastAsia" w:ascii="Times New Roman" w:hAnsi="Times New Roman" w:eastAsia="宋体" w:cs="Times New Roman"/>
          <w:sz w:val="28"/>
          <w:szCs w:val="28"/>
        </w:rPr>
        <w:t>50%=250           2</w:t>
      </w:r>
      <w:r>
        <w:rPr>
          <w:rFonts w:hint="eastAsia" w:ascii="宋体" w:hAnsi="宋体" w:eastAsia="宋体" w:cs="Times New Roman"/>
          <w:sz w:val="28"/>
          <w:szCs w:val="28"/>
        </w:rPr>
        <w:t>个低</w:t>
      </w:r>
      <w:r>
        <w:rPr>
          <w:rFonts w:hint="eastAsia" w:ascii="Times New Roman" w:hAnsi="Times New Roman" w:eastAsia="宋体" w:cs="Times New Roman"/>
          <w:sz w:val="28"/>
          <w:szCs w:val="28"/>
        </w:rPr>
        <w:t>50%=100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3个中</w:t>
      </w:r>
      <w:r>
        <w:rPr>
          <w:rFonts w:hint="eastAsia" w:ascii="Times New Roman" w:hAnsi="Times New Roman" w:eastAsia="宋体" w:cs="Times New Roman"/>
          <w:sz w:val="28"/>
          <w:szCs w:val="28"/>
        </w:rPr>
        <w:t>55%= 165         5</w:t>
      </w:r>
      <w:r>
        <w:rPr>
          <w:rFonts w:hint="eastAsia" w:ascii="宋体" w:hAnsi="宋体" w:eastAsia="宋体" w:cs="Times New Roman"/>
          <w:sz w:val="28"/>
          <w:szCs w:val="28"/>
        </w:rPr>
        <w:t>个中</w:t>
      </w:r>
      <w:r>
        <w:rPr>
          <w:rFonts w:hint="eastAsia" w:ascii="Times New Roman" w:hAnsi="Times New Roman" w:eastAsia="宋体" w:cs="Times New Roman"/>
          <w:sz w:val="28"/>
          <w:szCs w:val="28"/>
        </w:rPr>
        <w:t>55%=275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2个高</w:t>
      </w:r>
      <w:r>
        <w:rPr>
          <w:rFonts w:hint="eastAsia" w:ascii="Times New Roman" w:hAnsi="Times New Roman" w:eastAsia="宋体" w:cs="Times New Roman"/>
          <w:sz w:val="28"/>
          <w:szCs w:val="28"/>
        </w:rPr>
        <w:t>60%=120           3</w:t>
      </w:r>
      <w:r>
        <w:rPr>
          <w:rFonts w:hint="eastAsia" w:ascii="宋体" w:hAnsi="宋体" w:eastAsia="宋体" w:cs="Times New Roman"/>
          <w:sz w:val="28"/>
          <w:szCs w:val="28"/>
        </w:rPr>
        <w:t>个高</w:t>
      </w:r>
      <w:r>
        <w:rPr>
          <w:rFonts w:hint="eastAsia" w:ascii="Times New Roman" w:hAnsi="Times New Roman" w:eastAsia="宋体" w:cs="Times New Roman"/>
          <w:sz w:val="28"/>
          <w:szCs w:val="28"/>
        </w:rPr>
        <w:t>60%=180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这桌菜</w:t>
      </w:r>
      <w:r>
        <w:rPr>
          <w:rFonts w:hint="eastAsia" w:ascii="Times New Roman" w:hAnsi="Times New Roman" w:eastAsia="宋体" w:cs="Times New Roman"/>
          <w:sz w:val="28"/>
          <w:szCs w:val="28"/>
        </w:rPr>
        <w:t>53.5%</w:t>
      </w:r>
      <w:r>
        <w:rPr>
          <w:rFonts w:hint="eastAsia" w:ascii="宋体" w:hAnsi="宋体" w:eastAsia="宋体" w:cs="Times New Roman"/>
          <w:sz w:val="28"/>
          <w:szCs w:val="28"/>
        </w:rPr>
        <w:t>毛利率        这桌菜</w:t>
      </w:r>
      <w:r>
        <w:rPr>
          <w:rFonts w:hint="eastAsia" w:ascii="Times New Roman" w:hAnsi="Times New Roman" w:eastAsia="宋体" w:cs="Times New Roman"/>
          <w:sz w:val="28"/>
          <w:szCs w:val="28"/>
        </w:rPr>
        <w:t>55.5%</w:t>
      </w:r>
      <w:r>
        <w:rPr>
          <w:rFonts w:hint="eastAsia" w:ascii="宋体" w:hAnsi="宋体" w:eastAsia="宋体" w:cs="Times New Roman"/>
          <w:sz w:val="28"/>
          <w:szCs w:val="28"/>
        </w:rPr>
        <w:t>毛利率</w:t>
      </w:r>
    </w:p>
    <w:p>
      <w:pPr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无形这桌提高毛利率：</w:t>
      </w:r>
      <w:r>
        <w:rPr>
          <w:rFonts w:hint="eastAsia" w:ascii="Times New Roman" w:hAnsi="Times New Roman" w:eastAsia="宋体" w:cs="Times New Roman"/>
          <w:sz w:val="28"/>
          <w:szCs w:val="28"/>
        </w:rPr>
        <w:t>2%</w:t>
      </w:r>
    </w:p>
    <w:p>
      <w:pPr>
        <w:jc w:val="left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第四部分前厅经营分析</w:t>
      </w:r>
    </w:p>
    <w:p>
      <w:pPr>
        <w:jc w:val="left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一般地区酒水营业额占总营业额</w:t>
      </w:r>
      <w:r>
        <w:rPr>
          <w:rFonts w:hint="eastAsia" w:ascii="Times New Roman" w:hAnsi="Times New Roman" w:eastAsia="宋体" w:cs="Times New Roman"/>
          <w:sz w:val="28"/>
          <w:szCs w:val="28"/>
        </w:rPr>
        <w:t>8%</w:t>
      </w:r>
      <w:r>
        <w:rPr>
          <w:rFonts w:hint="eastAsia" w:ascii="宋体" w:hAnsi="宋体" w:eastAsia="宋体" w:cs="Times New Roman"/>
          <w:sz w:val="28"/>
          <w:szCs w:val="28"/>
        </w:rPr>
        <w:t>，有的地区能占到</w:t>
      </w:r>
      <w:r>
        <w:rPr>
          <w:rFonts w:hint="eastAsia" w:ascii="Times New Roman" w:hAnsi="Times New Roman" w:eastAsia="宋体" w:cs="Times New Roman"/>
          <w:sz w:val="28"/>
          <w:szCs w:val="28"/>
        </w:rPr>
        <w:t>10%</w:t>
      </w:r>
    </w:p>
    <w:p>
      <w:pPr>
        <w:jc w:val="center"/>
        <w:rPr>
          <w:rFonts w:hint="eastAsia"/>
          <w:b/>
          <w:color w:val="FF0000"/>
          <w:sz w:val="36"/>
          <w:szCs w:val="36"/>
        </w:rPr>
      </w:pPr>
    </w:p>
    <w:p>
      <w:pPr>
        <w:jc w:val="center"/>
        <w:rPr>
          <w:b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67C54"/>
    <w:rsid w:val="00067C54"/>
    <w:rsid w:val="00072461"/>
    <w:rsid w:val="000D6172"/>
    <w:rsid w:val="003255FD"/>
    <w:rsid w:val="004356D7"/>
    <w:rsid w:val="006A5EEB"/>
    <w:rsid w:val="00B27C33"/>
    <w:rsid w:val="00B51567"/>
    <w:rsid w:val="00DB327F"/>
    <w:rsid w:val="00E64D76"/>
    <w:rsid w:val="00E91287"/>
    <w:rsid w:val="0926097B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styleId="3">
    <w:name w:val="Hyperlink"/>
    <w:basedOn w:val="2"/>
    <w:unhideWhenUsed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361</Words>
  <Characters>2058</Characters>
  <Lines>17</Lines>
  <Paragraphs>4</Paragraphs>
  <TotalTime>0</TotalTime>
  <ScaleCrop>false</ScaleCrop>
  <LinksUpToDate>false</LinksUpToDate>
  <CharactersWithSpaces>0</CharactersWithSpaces>
  <Application>WPS Office 个人版_9.1.0.4984_{F1E327BC-269C-435d-A152-05C5408002CA}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2015-03-06T01:51:00Z</dcterms:created>
  <dc:creator>DADI</dc:creator>
  <cp:lastModifiedBy>Administrator</cp:lastModifiedBy>
  <dcterms:modified xsi:type="dcterms:W3CDTF">2015-03-07T10:08:27Z</dcterms:modified>
  <dc:title>餐营业相关数据占比以及公式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2052-9.1.0.4984</vt:lpwstr>
  </property>
</Properties>
</file>